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6F6D" w14:textId="14B19574" w:rsidR="008C08D9" w:rsidRDefault="006B6D78" w:rsidP="008A065E">
      <w:pPr>
        <w:spacing w:after="0" w:line="259" w:lineRule="auto"/>
        <w:ind w:left="0" w:right="231" w:firstLine="0"/>
        <w:jc w:val="center"/>
      </w:pPr>
      <w:r>
        <w:rPr>
          <w:noProof/>
        </w:rPr>
        <w:drawing>
          <wp:inline distT="0" distB="0" distL="0" distR="0" wp14:anchorId="7BBF3F61" wp14:editId="7EF52F9F">
            <wp:extent cx="6394450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9AA3" w14:textId="77777777" w:rsidR="008C08D9" w:rsidRDefault="00744256">
      <w:pPr>
        <w:spacing w:after="0" w:line="259" w:lineRule="auto"/>
        <w:ind w:left="0" w:firstLine="0"/>
      </w:pPr>
      <w:r>
        <w:rPr>
          <w:color w:val="FFFFFF"/>
          <w:sz w:val="48"/>
        </w:rPr>
        <w:t xml:space="preserve"> </w:t>
      </w:r>
    </w:p>
    <w:p w14:paraId="6E764ABC" w14:textId="77777777" w:rsidR="008C08D9" w:rsidRDefault="00744256">
      <w:pPr>
        <w:spacing w:after="207" w:line="259" w:lineRule="auto"/>
        <w:ind w:left="3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5D0AC7" wp14:editId="3A7333FC">
                <wp:simplePos x="0" y="0"/>
                <wp:positionH relativeFrom="column">
                  <wp:posOffset>-685799</wp:posOffset>
                </wp:positionH>
                <wp:positionV relativeFrom="paragraph">
                  <wp:posOffset>-196951</wp:posOffset>
                </wp:positionV>
                <wp:extent cx="7772400" cy="666750"/>
                <wp:effectExtent l="0" t="0" r="0" b="0"/>
                <wp:wrapNone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66750"/>
                          <a:chOff x="0" y="0"/>
                          <a:chExt cx="7772400" cy="666750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77724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66675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8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7" style="width:612pt;height:52.5pt;position:absolute;z-index:-2147483646;mso-position-horizontal-relative:text;mso-position-horizontal:absolute;margin-left:-54pt;mso-position-vertical-relative:text;margin-top:-15.508pt;" coordsize="77724,6667">
                <v:shape id="Shape 2632" style="position:absolute;width:77724;height:6667;left:0;top:0;" coordsize="7772400,666750" path="m0,0l7772400,0l7772400,666750l0,666750l0,0">
                  <v:stroke weight="0pt" endcap="flat" joinstyle="miter" miterlimit="10" on="false" color="#000000" opacity="0"/>
                  <v:fill on="true" color="#005876"/>
                </v:shape>
              </v:group>
            </w:pict>
          </mc:Fallback>
        </mc:AlternateContent>
      </w:r>
      <w:r>
        <w:rPr>
          <w:color w:val="FFFFFF"/>
          <w:sz w:val="48"/>
        </w:rPr>
        <w:t xml:space="preserve">Small Grants Program: Checklist for Applicants </w:t>
      </w:r>
    </w:p>
    <w:p w14:paraId="4B1E013D" w14:textId="77777777" w:rsidR="008C08D9" w:rsidRDefault="00744256">
      <w:pPr>
        <w:spacing w:after="0" w:line="259" w:lineRule="auto"/>
        <w:ind w:left="360" w:firstLine="0"/>
      </w:pPr>
      <w:r>
        <w:t xml:space="preserve"> </w:t>
      </w:r>
    </w:p>
    <w:p w14:paraId="13F8F879" w14:textId="62672380" w:rsidR="008C08D9" w:rsidRDefault="00744256" w:rsidP="008A065E">
      <w:pPr>
        <w:spacing w:after="0" w:line="259" w:lineRule="auto"/>
        <w:ind w:left="360" w:firstLine="0"/>
      </w:pPr>
      <w:r>
        <w:t xml:space="preserve">  </w:t>
      </w:r>
    </w:p>
    <w:p w14:paraId="5160E3FE" w14:textId="684C7DDC" w:rsidR="008C08D9" w:rsidRDefault="00744256">
      <w:pPr>
        <w:numPr>
          <w:ilvl w:val="0"/>
          <w:numId w:val="1"/>
        </w:numPr>
        <w:ind w:right="-14" w:hanging="360"/>
      </w:pPr>
      <w:r>
        <w:t>All applicants are encouraged to carefully read through the detailed eligibility criteria provided in the Review</w:t>
      </w:r>
      <w:r w:rsidR="008A065E">
        <w:t xml:space="preserve">ers </w:t>
      </w:r>
      <w:r>
        <w:t xml:space="preserve">Guide and the Call for applications </w:t>
      </w:r>
    </w:p>
    <w:p w14:paraId="0D175D4B" w14:textId="77777777" w:rsidR="008C08D9" w:rsidRDefault="00744256">
      <w:pPr>
        <w:numPr>
          <w:ilvl w:val="0"/>
          <w:numId w:val="1"/>
        </w:numPr>
        <w:spacing w:after="120"/>
        <w:ind w:right="-14" w:hanging="360"/>
      </w:pPr>
      <w:r>
        <w:t xml:space="preserve">Applicants may utilize this checklist as a quick reference guide to ensure that the application(s) submitted is eligible, and that all responses/documentation have been submitted.  </w:t>
      </w:r>
    </w:p>
    <w:p w14:paraId="6D7E1D38" w14:textId="29C9CDBA" w:rsidR="008C08D9" w:rsidRDefault="00744256">
      <w:pPr>
        <w:spacing w:after="95" w:line="259" w:lineRule="auto"/>
        <w:ind w:left="0" w:firstLine="0"/>
      </w:pPr>
      <w:r>
        <w:t xml:space="preserve">  </w:t>
      </w:r>
    </w:p>
    <w:p w14:paraId="1A33CED4" w14:textId="77777777" w:rsidR="008C08D9" w:rsidRDefault="0074425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097" w:type="dxa"/>
        <w:tblInd w:w="-14" w:type="dxa"/>
        <w:tblCellMar>
          <w:top w:w="50" w:type="dxa"/>
          <w:right w:w="47" w:type="dxa"/>
        </w:tblCellMar>
        <w:tblLook w:val="04A0" w:firstRow="1" w:lastRow="0" w:firstColumn="1" w:lastColumn="0" w:noHBand="0" w:noVBand="1"/>
      </w:tblPr>
      <w:tblGrid>
        <w:gridCol w:w="989"/>
        <w:gridCol w:w="9108"/>
      </w:tblGrid>
      <w:tr w:rsidR="008C08D9" w14:paraId="6B383617" w14:textId="77777777">
        <w:trPr>
          <w:trHeight w:val="348"/>
        </w:trPr>
        <w:tc>
          <w:tcPr>
            <w:tcW w:w="989" w:type="dxa"/>
            <w:tcBorders>
              <w:top w:val="single" w:sz="17" w:space="0" w:color="00759E"/>
              <w:left w:val="nil"/>
              <w:bottom w:val="single" w:sz="17" w:space="0" w:color="00759E"/>
              <w:right w:val="nil"/>
            </w:tcBorders>
          </w:tcPr>
          <w:p w14:paraId="50925AA1" w14:textId="77777777" w:rsidR="008C08D9" w:rsidRDefault="00744256">
            <w:pPr>
              <w:spacing w:after="0" w:line="259" w:lineRule="auto"/>
              <w:ind w:left="123" w:firstLine="0"/>
            </w:pPr>
            <w:r>
              <w:rPr>
                <w:b/>
                <w:sz w:val="22"/>
              </w:rPr>
              <w:t xml:space="preserve">Check </w:t>
            </w:r>
          </w:p>
        </w:tc>
        <w:tc>
          <w:tcPr>
            <w:tcW w:w="9108" w:type="dxa"/>
            <w:tcBorders>
              <w:top w:val="single" w:sz="17" w:space="0" w:color="00759E"/>
              <w:left w:val="nil"/>
              <w:bottom w:val="single" w:sz="17" w:space="0" w:color="00759E"/>
              <w:right w:val="nil"/>
            </w:tcBorders>
          </w:tcPr>
          <w:p w14:paraId="19ABB47F" w14:textId="77777777" w:rsidR="008C08D9" w:rsidRDefault="0074425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Guide/Requirements for Eligible Applications </w:t>
            </w:r>
          </w:p>
        </w:tc>
      </w:tr>
      <w:tr w:rsidR="008C08D9" w14:paraId="0ED33E3E" w14:textId="77777777">
        <w:trPr>
          <w:trHeight w:val="360"/>
        </w:trPr>
        <w:tc>
          <w:tcPr>
            <w:tcW w:w="989" w:type="dxa"/>
            <w:tcBorders>
              <w:top w:val="single" w:sz="17" w:space="0" w:color="00759E"/>
              <w:left w:val="nil"/>
              <w:bottom w:val="single" w:sz="4" w:space="0" w:color="00B0F0"/>
              <w:right w:val="nil"/>
            </w:tcBorders>
          </w:tcPr>
          <w:p w14:paraId="667FF4E8" w14:textId="5F9DC14B" w:rsidR="008C08D9" w:rsidRDefault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2643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256">
              <w:t xml:space="preserve"> </w:t>
            </w:r>
          </w:p>
        </w:tc>
        <w:tc>
          <w:tcPr>
            <w:tcW w:w="9108" w:type="dxa"/>
            <w:tcBorders>
              <w:top w:val="single" w:sz="17" w:space="0" w:color="00759E"/>
              <w:left w:val="nil"/>
              <w:bottom w:val="single" w:sz="4" w:space="0" w:color="00B0F0"/>
              <w:right w:val="nil"/>
            </w:tcBorders>
          </w:tcPr>
          <w:p w14:paraId="55E35F7E" w14:textId="3D3EA0C8" w:rsidR="008C08D9" w:rsidRDefault="00744256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>Review</w:t>
            </w:r>
            <w:r w:rsidR="003737A1">
              <w:rPr>
                <w:color w:val="3A3A3C"/>
                <w:sz w:val="22"/>
              </w:rPr>
              <w:t>ers</w:t>
            </w:r>
            <w:r>
              <w:rPr>
                <w:color w:val="3A3A3C"/>
                <w:sz w:val="22"/>
              </w:rPr>
              <w:t xml:space="preserve"> Guide has been read in full </w:t>
            </w:r>
          </w:p>
        </w:tc>
      </w:tr>
      <w:tr w:rsidR="008C08D9" w14:paraId="10218BA8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59077F5A" w14:textId="4B881F65" w:rsidR="008C08D9" w:rsidRDefault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14937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FAD8DB1" w14:textId="77777777" w:rsidR="008C08D9" w:rsidRDefault="00744256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>Chosen grant category is justified by your current academic background and research experience.</w:t>
            </w:r>
            <w:r>
              <w:rPr>
                <w:sz w:val="22"/>
              </w:rPr>
              <w:t xml:space="preserve"> </w:t>
            </w:r>
          </w:p>
        </w:tc>
      </w:tr>
      <w:tr w:rsidR="008C08D9" w14:paraId="39C48A11" w14:textId="77777777">
        <w:trPr>
          <w:trHeight w:val="794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71F76307" w14:textId="634AA5DD" w:rsidR="008C08D9" w:rsidRDefault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40048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3A9EE9D2" w14:textId="77777777" w:rsidR="008C08D9" w:rsidRDefault="00744256">
            <w:pPr>
              <w:spacing w:after="0" w:line="259" w:lineRule="auto"/>
              <w:ind w:left="0" w:firstLine="0"/>
              <w:jc w:val="both"/>
            </w:pPr>
            <w:r>
              <w:rPr>
                <w:color w:val="3A3A3C"/>
                <w:sz w:val="22"/>
              </w:rPr>
              <w:t xml:space="preserve">Disease of interest is focused on any or a combination of the five preventive chemotherapy (PC) </w:t>
            </w:r>
          </w:p>
          <w:p w14:paraId="7D7CF4E0" w14:textId="77777777" w:rsidR="008C08D9" w:rsidRDefault="00744256">
            <w:pPr>
              <w:spacing w:after="0" w:line="259" w:lineRule="auto"/>
              <w:ind w:left="0" w:firstLine="0"/>
              <w:jc w:val="both"/>
            </w:pPr>
            <w:r>
              <w:rPr>
                <w:color w:val="3A3A3C"/>
                <w:sz w:val="22"/>
              </w:rPr>
              <w:t xml:space="preserve">NTDs (i.e. Lymphatic filariasis, Onchocerciasis, Soil transmitted helminthiasis, Schistosomiasis and </w:t>
            </w:r>
          </w:p>
          <w:p w14:paraId="3DCB428A" w14:textId="77777777" w:rsidR="008C08D9" w:rsidRDefault="00744256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Trachoma) </w:t>
            </w:r>
          </w:p>
        </w:tc>
      </w:tr>
      <w:tr w:rsidR="007F5E5F" w14:paraId="2CFB235D" w14:textId="77777777">
        <w:trPr>
          <w:trHeight w:val="543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3F17129" w14:textId="3AA4CDED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17878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208F1A92" w14:textId="77777777" w:rsidR="007F5E5F" w:rsidRDefault="007F5E5F" w:rsidP="007F5E5F">
            <w:pPr>
              <w:spacing w:after="0" w:line="259" w:lineRule="auto"/>
              <w:ind w:left="0" w:firstLine="0"/>
              <w:jc w:val="both"/>
            </w:pPr>
            <w:r>
              <w:rPr>
                <w:color w:val="3A3A3C"/>
                <w:sz w:val="22"/>
              </w:rPr>
              <w:t>If non-PC NTD, the disease of interest shows a contribution to efforts to help control one or more of the PC NTDs</w:t>
            </w:r>
            <w:r>
              <w:rPr>
                <w:sz w:val="22"/>
              </w:rPr>
              <w:t xml:space="preserve"> </w:t>
            </w:r>
          </w:p>
        </w:tc>
      </w:tr>
      <w:tr w:rsidR="007F5E5F" w14:paraId="58BC1A3E" w14:textId="77777777">
        <w:trPr>
          <w:trHeight w:val="1049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398875D6" w14:textId="689F9F9E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10092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31D5E6B" w14:textId="77777777" w:rsidR="007F5E5F" w:rsidRDefault="007F5E5F" w:rsidP="007F5E5F">
            <w:pPr>
              <w:spacing w:after="0" w:line="259" w:lineRule="auto"/>
              <w:ind w:left="0" w:right="57" w:firstLine="0"/>
            </w:pPr>
            <w:r>
              <w:rPr>
                <w:color w:val="3A3A3C"/>
                <w:sz w:val="22"/>
              </w:rPr>
              <w:t>Project primarily focused on improving access to interventions for vulnerable populations such as nomads, groups in conflict zones, and rural/hard-to-reach areas, refugees and the disabled are also required to focus on the PC-NTDs. However not all projects focused on the PC NTDs are required to target vulnerable populations</w:t>
            </w:r>
            <w:r>
              <w:rPr>
                <w:sz w:val="22"/>
              </w:rPr>
              <w:t xml:space="preserve"> </w:t>
            </w:r>
          </w:p>
        </w:tc>
      </w:tr>
      <w:tr w:rsidR="007F5E5F" w14:paraId="326AE69A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347A187" w14:textId="7831690D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8550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2E0C8C30" w14:textId="77777777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Proposal satisfies qualifying criteria for Operational and Implementation Research </w:t>
            </w:r>
            <w:r>
              <w:rPr>
                <w:sz w:val="22"/>
              </w:rPr>
              <w:t xml:space="preserve"> </w:t>
            </w:r>
          </w:p>
        </w:tc>
      </w:tr>
      <w:tr w:rsidR="007F5E5F" w14:paraId="2CC9662A" w14:textId="77777777">
        <w:trPr>
          <w:trHeight w:val="343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A1D81A1" w14:textId="7BEF1D4B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15340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6902D59A" w14:textId="77777777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Word limits for answers to all questions have been strictly adhered to </w:t>
            </w:r>
            <w:r>
              <w:rPr>
                <w:sz w:val="22"/>
              </w:rPr>
              <w:t xml:space="preserve"> </w:t>
            </w:r>
          </w:p>
        </w:tc>
      </w:tr>
      <w:tr w:rsidR="007F5E5F" w14:paraId="5C558CCA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45611E57" w14:textId="05ADE307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8290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39D5DB94" w14:textId="77777777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Application has evidence of engagement with National NTD programs </w:t>
            </w:r>
            <w:r>
              <w:rPr>
                <w:sz w:val="22"/>
              </w:rPr>
              <w:t xml:space="preserve"> </w:t>
            </w:r>
          </w:p>
        </w:tc>
      </w:tr>
      <w:tr w:rsidR="007F5E5F" w14:paraId="37363A11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5906FAEC" w14:textId="28AB8C10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8131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7BD50BE5" w14:textId="3D3B3C96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>Application indicates approach for transfer of knowledge and/or dissemination of results</w:t>
            </w:r>
            <w:r>
              <w:rPr>
                <w:sz w:val="22"/>
              </w:rPr>
              <w:t xml:space="preserve"> </w:t>
            </w:r>
          </w:p>
        </w:tc>
      </w:tr>
      <w:tr w:rsidR="007F5E5F" w14:paraId="6FBBC309" w14:textId="77777777">
        <w:trPr>
          <w:trHeight w:val="5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365E6AFA" w14:textId="0EF5DF30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20334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5F3AD9A0" w14:textId="77777777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For mid-career/senior researcher applicants, proof of matching funds to which SGP funds will augment is provided </w:t>
            </w:r>
          </w:p>
        </w:tc>
      </w:tr>
      <w:tr w:rsidR="007F5E5F" w14:paraId="7B16398A" w14:textId="77777777">
        <w:trPr>
          <w:trHeight w:val="540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11363066" w14:textId="502EF798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16353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66EB83E8" w14:textId="77777777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 xml:space="preserve">Budget has been prepared in line with allowable funding rules for SGP as specified in Budgeting </w:t>
            </w:r>
          </w:p>
          <w:p w14:paraId="743046BA" w14:textId="77777777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>Instructions</w:t>
            </w:r>
            <w:r>
              <w:rPr>
                <w:sz w:val="22"/>
              </w:rPr>
              <w:t xml:space="preserve"> </w:t>
            </w:r>
          </w:p>
        </w:tc>
      </w:tr>
      <w:tr w:rsidR="007F5E5F" w14:paraId="005E237C" w14:textId="77777777">
        <w:trPr>
          <w:trHeight w:val="341"/>
        </w:trPr>
        <w:tc>
          <w:tcPr>
            <w:tcW w:w="98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1EAA5999" w14:textId="5553F193" w:rsidR="007F5E5F" w:rsidRDefault="007F5E5F" w:rsidP="007F5E5F">
            <w:pPr>
              <w:spacing w:after="0" w:line="259" w:lineRule="auto"/>
              <w:ind w:left="0" w:right="49" w:firstLine="0"/>
              <w:jc w:val="center"/>
            </w:pPr>
            <w:sdt>
              <w:sdtPr>
                <w:id w:val="-105530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7EA">
              <w:t xml:space="preserve"> </w:t>
            </w:r>
          </w:p>
        </w:tc>
        <w:tc>
          <w:tcPr>
            <w:tcW w:w="91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83BFCCE" w14:textId="77777777" w:rsidR="007F5E5F" w:rsidRDefault="007F5E5F" w:rsidP="007F5E5F">
            <w:pPr>
              <w:spacing w:after="0" w:line="259" w:lineRule="auto"/>
              <w:ind w:left="0" w:firstLine="0"/>
            </w:pPr>
            <w:r>
              <w:rPr>
                <w:color w:val="3A3A3C"/>
                <w:sz w:val="22"/>
              </w:rPr>
              <w:t>Budget has been uploaded or emailed to the ARNTD Secretariat</w:t>
            </w:r>
            <w:r>
              <w:rPr>
                <w:sz w:val="22"/>
              </w:rPr>
              <w:t xml:space="preserve"> </w:t>
            </w:r>
          </w:p>
        </w:tc>
      </w:tr>
    </w:tbl>
    <w:p w14:paraId="08DF31A6" w14:textId="77777777" w:rsidR="008C08D9" w:rsidRDefault="00744256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p w14:paraId="3E2C5928" w14:textId="78AEBBCA" w:rsidR="008C08D9" w:rsidRDefault="00744256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p w14:paraId="4665389C" w14:textId="77777777" w:rsidR="008C08D9" w:rsidRDefault="00744256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sectPr w:rsidR="008C08D9" w:rsidSect="008A065E">
      <w:pgSz w:w="12240" w:h="15840"/>
      <w:pgMar w:top="284" w:right="1090" w:bottom="170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835"/>
    <w:multiLevelType w:val="hybridMultilevel"/>
    <w:tmpl w:val="493A8A04"/>
    <w:lvl w:ilvl="0" w:tplc="2DDA83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0E0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4BB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F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47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20C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0A3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413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21E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992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IxNDEyNTUxMTFT0lEKTi0uzszPAykwrgUAdj6e+ywAAAA="/>
  </w:docVars>
  <w:rsids>
    <w:rsidRoot w:val="008C08D9"/>
    <w:rsid w:val="000465F6"/>
    <w:rsid w:val="0018533D"/>
    <w:rsid w:val="003707F7"/>
    <w:rsid w:val="003737A1"/>
    <w:rsid w:val="006B6D78"/>
    <w:rsid w:val="00744256"/>
    <w:rsid w:val="007F5E5F"/>
    <w:rsid w:val="00873C73"/>
    <w:rsid w:val="008A065E"/>
    <w:rsid w:val="008C08D9"/>
    <w:rsid w:val="00D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A3B9"/>
  <w15:docId w15:val="{A3400FD8-5942-4999-B27B-29680B1D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8" w:line="238" w:lineRule="auto"/>
      <w:ind w:left="370" w:hanging="370"/>
    </w:pPr>
    <w:rPr>
      <w:rFonts w:ascii="Gill Sans MT" w:eastAsia="Gill Sans MT" w:hAnsi="Gill Sans MT" w:cs="Gill Sans M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ADU-AMOAH</dc:creator>
  <cp:keywords/>
  <cp:lastModifiedBy>LOUIS ADU-AMOAH</cp:lastModifiedBy>
  <cp:revision>9</cp:revision>
  <dcterms:created xsi:type="dcterms:W3CDTF">2021-07-12T15:36:00Z</dcterms:created>
  <dcterms:modified xsi:type="dcterms:W3CDTF">2022-08-30T13:29:00Z</dcterms:modified>
</cp:coreProperties>
</file>